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316"/>
        <w:gridCol w:w="1763"/>
        <w:gridCol w:w="1171"/>
        <w:gridCol w:w="1157"/>
        <w:gridCol w:w="1017"/>
        <w:gridCol w:w="1088"/>
        <w:gridCol w:w="1067"/>
        <w:gridCol w:w="1666"/>
        <w:gridCol w:w="2925"/>
      </w:tblGrid>
      <w:tr w:rsidR="00082D43" w14:paraId="58801095" w14:textId="3178DB15" w:rsidTr="00082D43">
        <w:tc>
          <w:tcPr>
            <w:tcW w:w="2316" w:type="dxa"/>
          </w:tcPr>
          <w:p w14:paraId="246A40F0" w14:textId="0FEC0BCD" w:rsidR="00082D43" w:rsidRDefault="00082D43">
            <w:r>
              <w:t>site</w:t>
            </w:r>
          </w:p>
        </w:tc>
        <w:tc>
          <w:tcPr>
            <w:tcW w:w="1763" w:type="dxa"/>
          </w:tcPr>
          <w:p w14:paraId="1B4A0723" w14:textId="0AFDD01E" w:rsidR="00082D43" w:rsidRDefault="00082D43">
            <w:r>
              <w:t>App ref</w:t>
            </w:r>
          </w:p>
        </w:tc>
        <w:tc>
          <w:tcPr>
            <w:tcW w:w="1171" w:type="dxa"/>
          </w:tcPr>
          <w:p w14:paraId="02009C4A" w14:textId="620AFD72" w:rsidR="00082D43" w:rsidRDefault="00082D43">
            <w:r>
              <w:t>Requested amount</w:t>
            </w:r>
          </w:p>
        </w:tc>
        <w:tc>
          <w:tcPr>
            <w:tcW w:w="1157" w:type="dxa"/>
          </w:tcPr>
          <w:p w14:paraId="6C787CCD" w14:textId="441A04ED" w:rsidR="00082D43" w:rsidRDefault="00082D43">
            <w:r>
              <w:t>Final award</w:t>
            </w:r>
          </w:p>
        </w:tc>
        <w:tc>
          <w:tcPr>
            <w:tcW w:w="1017" w:type="dxa"/>
          </w:tcPr>
          <w:p w14:paraId="6558ADF9" w14:textId="38592B11" w:rsidR="00082D43" w:rsidRDefault="00082D43">
            <w:r>
              <w:t>Award paid to Council</w:t>
            </w:r>
          </w:p>
        </w:tc>
        <w:tc>
          <w:tcPr>
            <w:tcW w:w="1088" w:type="dxa"/>
          </w:tcPr>
          <w:p w14:paraId="52937065" w14:textId="423D43FA" w:rsidR="00082D43" w:rsidRDefault="00082D43">
            <w:r>
              <w:t xml:space="preserve">Award paid to appellant </w:t>
            </w:r>
          </w:p>
        </w:tc>
        <w:tc>
          <w:tcPr>
            <w:tcW w:w="1067" w:type="dxa"/>
          </w:tcPr>
          <w:p w14:paraId="161710C9" w14:textId="3D251495" w:rsidR="00082D43" w:rsidRDefault="00082D43">
            <w:r>
              <w:t>date</w:t>
            </w:r>
          </w:p>
        </w:tc>
        <w:tc>
          <w:tcPr>
            <w:tcW w:w="1666" w:type="dxa"/>
          </w:tcPr>
          <w:p w14:paraId="694C1AFC" w14:textId="4CFC0DF7" w:rsidR="00082D43" w:rsidRDefault="00082D43">
            <w:r>
              <w:t>External consultant/legal costs</w:t>
            </w:r>
          </w:p>
        </w:tc>
        <w:tc>
          <w:tcPr>
            <w:tcW w:w="2925" w:type="dxa"/>
          </w:tcPr>
          <w:p w14:paraId="047984CE" w14:textId="03579FA5" w:rsidR="00082D43" w:rsidRDefault="00082D43">
            <w:r>
              <w:t>Notes</w:t>
            </w:r>
          </w:p>
        </w:tc>
      </w:tr>
      <w:tr w:rsidR="00082D43" w14:paraId="655E0622" w14:textId="44E893F3" w:rsidTr="00082D43">
        <w:tc>
          <w:tcPr>
            <w:tcW w:w="2316" w:type="dxa"/>
          </w:tcPr>
          <w:p w14:paraId="493103AA" w14:textId="76E160B9" w:rsidR="00082D43" w:rsidRDefault="00082D43" w:rsidP="002533C3">
            <w:r w:rsidRPr="009C0E0F">
              <w:t>Land north 14 Fern Road</w:t>
            </w:r>
          </w:p>
        </w:tc>
        <w:tc>
          <w:tcPr>
            <w:tcW w:w="1763" w:type="dxa"/>
          </w:tcPr>
          <w:p w14:paraId="78665AA2" w14:textId="3F487FA2" w:rsidR="00082D43" w:rsidRDefault="00082D43" w:rsidP="002533C3">
            <w:r w:rsidRPr="009C0E0F">
              <w:t>HS/FA/08/00797</w:t>
            </w:r>
          </w:p>
        </w:tc>
        <w:tc>
          <w:tcPr>
            <w:tcW w:w="1171" w:type="dxa"/>
          </w:tcPr>
          <w:p w14:paraId="09AFFCCE" w14:textId="7B44C25C" w:rsidR="00082D43" w:rsidRDefault="00082D43" w:rsidP="002533C3">
            <w:r>
              <w:t>unknown</w:t>
            </w:r>
          </w:p>
        </w:tc>
        <w:tc>
          <w:tcPr>
            <w:tcW w:w="1157" w:type="dxa"/>
          </w:tcPr>
          <w:p w14:paraId="3F82195E" w14:textId="5B554F61" w:rsidR="00082D43" w:rsidRDefault="00082D43" w:rsidP="002533C3">
            <w:r w:rsidRPr="009C0E0F">
              <w:t>£24,250</w:t>
            </w:r>
          </w:p>
        </w:tc>
        <w:tc>
          <w:tcPr>
            <w:tcW w:w="1017" w:type="dxa"/>
          </w:tcPr>
          <w:p w14:paraId="7D13FD44" w14:textId="77777777" w:rsidR="00082D43" w:rsidRDefault="00082D43" w:rsidP="002533C3"/>
        </w:tc>
        <w:tc>
          <w:tcPr>
            <w:tcW w:w="1088" w:type="dxa"/>
          </w:tcPr>
          <w:p w14:paraId="5AFE70E3" w14:textId="4066BE08" w:rsidR="00082D43" w:rsidRPr="009C0E0F" w:rsidRDefault="00082D43" w:rsidP="002533C3">
            <w:r w:rsidRPr="001463CF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67" w:type="dxa"/>
          </w:tcPr>
          <w:p w14:paraId="02E81CE8" w14:textId="7D4BAB7A" w:rsidR="00082D43" w:rsidRDefault="00082D43" w:rsidP="002533C3">
            <w:r w:rsidRPr="009C0E0F">
              <w:t>12/2011</w:t>
            </w:r>
          </w:p>
        </w:tc>
        <w:tc>
          <w:tcPr>
            <w:tcW w:w="1666" w:type="dxa"/>
          </w:tcPr>
          <w:p w14:paraId="478A57E8" w14:textId="274DD9E6" w:rsidR="00082D43" w:rsidRPr="009C0E0F" w:rsidRDefault="00082D43" w:rsidP="002533C3">
            <w:r>
              <w:t>Data not held</w:t>
            </w:r>
          </w:p>
        </w:tc>
        <w:tc>
          <w:tcPr>
            <w:tcW w:w="2925" w:type="dxa"/>
          </w:tcPr>
          <w:p w14:paraId="2980A533" w14:textId="77777777" w:rsidR="00082D43" w:rsidRDefault="00082D43" w:rsidP="002533C3"/>
        </w:tc>
      </w:tr>
      <w:tr w:rsidR="00082D43" w14:paraId="75860212" w14:textId="474E59C9" w:rsidTr="00082D43">
        <w:tc>
          <w:tcPr>
            <w:tcW w:w="2316" w:type="dxa"/>
          </w:tcPr>
          <w:p w14:paraId="4409022A" w14:textId="61E1E1CF" w:rsidR="00082D43" w:rsidRDefault="00082D43" w:rsidP="002533C3">
            <w:r>
              <w:t>Mill Lane</w:t>
            </w:r>
          </w:p>
        </w:tc>
        <w:tc>
          <w:tcPr>
            <w:tcW w:w="1763" w:type="dxa"/>
          </w:tcPr>
          <w:p w14:paraId="28A4DD86" w14:textId="6C5008D4" w:rsidR="00082D43" w:rsidRDefault="00082D43" w:rsidP="002533C3">
            <w:r>
              <w:t>EN/16/00031</w:t>
            </w:r>
          </w:p>
        </w:tc>
        <w:tc>
          <w:tcPr>
            <w:tcW w:w="1171" w:type="dxa"/>
          </w:tcPr>
          <w:p w14:paraId="57D33678" w14:textId="2AA826AD" w:rsidR="00082D43" w:rsidRDefault="00082D43" w:rsidP="002533C3">
            <w:r>
              <w:t>£10,152</w:t>
            </w:r>
          </w:p>
        </w:tc>
        <w:tc>
          <w:tcPr>
            <w:tcW w:w="1157" w:type="dxa"/>
          </w:tcPr>
          <w:p w14:paraId="5CDD7CCC" w14:textId="1793FD74" w:rsidR="00082D43" w:rsidRDefault="00082D43" w:rsidP="002533C3">
            <w:r>
              <w:t>£6,500</w:t>
            </w:r>
          </w:p>
        </w:tc>
        <w:tc>
          <w:tcPr>
            <w:tcW w:w="1017" w:type="dxa"/>
          </w:tcPr>
          <w:p w14:paraId="38098AD5" w14:textId="77777777" w:rsidR="00082D43" w:rsidRDefault="00082D43" w:rsidP="002533C3"/>
        </w:tc>
        <w:tc>
          <w:tcPr>
            <w:tcW w:w="1088" w:type="dxa"/>
          </w:tcPr>
          <w:p w14:paraId="4D5D776B" w14:textId="40951E5C" w:rsidR="00082D43" w:rsidRDefault="00082D43" w:rsidP="002533C3">
            <w:r w:rsidRPr="001463CF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67" w:type="dxa"/>
          </w:tcPr>
          <w:p w14:paraId="611FD65B" w14:textId="6E3DA12F" w:rsidR="00082D43" w:rsidRDefault="00082D43" w:rsidP="002533C3">
            <w:r>
              <w:t>Jan 2017</w:t>
            </w:r>
          </w:p>
        </w:tc>
        <w:tc>
          <w:tcPr>
            <w:tcW w:w="1666" w:type="dxa"/>
          </w:tcPr>
          <w:p w14:paraId="41218929" w14:textId="532BB418" w:rsidR="00082D43" w:rsidRDefault="00082D43" w:rsidP="002533C3">
            <w:r>
              <w:t>£1,500</w:t>
            </w:r>
          </w:p>
        </w:tc>
        <w:tc>
          <w:tcPr>
            <w:tcW w:w="2925" w:type="dxa"/>
          </w:tcPr>
          <w:p w14:paraId="23D76011" w14:textId="77777777" w:rsidR="00082D43" w:rsidRDefault="00082D43" w:rsidP="002533C3"/>
        </w:tc>
      </w:tr>
      <w:tr w:rsidR="00082D43" w14:paraId="4BDFB371" w14:textId="188D432C" w:rsidTr="00082D43">
        <w:tc>
          <w:tcPr>
            <w:tcW w:w="2316" w:type="dxa"/>
          </w:tcPr>
          <w:p w14:paraId="310A5165" w14:textId="16DA48F1" w:rsidR="00082D43" w:rsidRDefault="00082D43">
            <w:proofErr w:type="spellStart"/>
            <w:r>
              <w:t>Astec</w:t>
            </w:r>
            <w:proofErr w:type="spellEnd"/>
            <w:r>
              <w:t xml:space="preserve"> House</w:t>
            </w:r>
          </w:p>
        </w:tc>
        <w:tc>
          <w:tcPr>
            <w:tcW w:w="1763" w:type="dxa"/>
          </w:tcPr>
          <w:p w14:paraId="73E1560C" w14:textId="253AB088" w:rsidR="00082D43" w:rsidRDefault="00082D43">
            <w:r>
              <w:t>20/125</w:t>
            </w:r>
          </w:p>
        </w:tc>
        <w:tc>
          <w:tcPr>
            <w:tcW w:w="1171" w:type="dxa"/>
          </w:tcPr>
          <w:p w14:paraId="26AEF9B4" w14:textId="4A9BE222" w:rsidR="00082D43" w:rsidRDefault="00082D43">
            <w:r>
              <w:t>none</w:t>
            </w:r>
          </w:p>
        </w:tc>
        <w:tc>
          <w:tcPr>
            <w:tcW w:w="1157" w:type="dxa"/>
          </w:tcPr>
          <w:p w14:paraId="21AE453C" w14:textId="77777777" w:rsidR="00082D43" w:rsidRDefault="00082D43"/>
        </w:tc>
        <w:tc>
          <w:tcPr>
            <w:tcW w:w="1017" w:type="dxa"/>
          </w:tcPr>
          <w:p w14:paraId="35A2D648" w14:textId="77777777" w:rsidR="00082D43" w:rsidRDefault="00082D43"/>
        </w:tc>
        <w:tc>
          <w:tcPr>
            <w:tcW w:w="1088" w:type="dxa"/>
          </w:tcPr>
          <w:p w14:paraId="45FCA5F6" w14:textId="1B898FEB" w:rsidR="00082D43" w:rsidRDefault="00082D43">
            <w:r w:rsidRPr="002533C3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67" w:type="dxa"/>
          </w:tcPr>
          <w:p w14:paraId="43034692" w14:textId="15BB1AB7" w:rsidR="00082D43" w:rsidRDefault="00082D43"/>
        </w:tc>
        <w:tc>
          <w:tcPr>
            <w:tcW w:w="1666" w:type="dxa"/>
          </w:tcPr>
          <w:p w14:paraId="60C3C361" w14:textId="67D3C1C6" w:rsidR="00082D43" w:rsidRDefault="00082D43">
            <w:r>
              <w:t>none</w:t>
            </w:r>
          </w:p>
        </w:tc>
        <w:tc>
          <w:tcPr>
            <w:tcW w:w="2925" w:type="dxa"/>
          </w:tcPr>
          <w:p w14:paraId="7E569E09" w14:textId="77777777" w:rsidR="00082D43" w:rsidRDefault="00082D43"/>
        </w:tc>
      </w:tr>
      <w:tr w:rsidR="00082D43" w14:paraId="78E58108" w14:textId="5BF9C22B" w:rsidTr="00082D43">
        <w:tc>
          <w:tcPr>
            <w:tcW w:w="2316" w:type="dxa"/>
          </w:tcPr>
          <w:p w14:paraId="7B17EAB0" w14:textId="77777777" w:rsidR="00082D43" w:rsidRDefault="00082D43" w:rsidP="000E4BB7">
            <w:r>
              <w:t>Barley Lane</w:t>
            </w:r>
          </w:p>
        </w:tc>
        <w:tc>
          <w:tcPr>
            <w:tcW w:w="1763" w:type="dxa"/>
          </w:tcPr>
          <w:p w14:paraId="5F93510E" w14:textId="77777777" w:rsidR="00082D43" w:rsidRDefault="00082D43" w:rsidP="000E4BB7">
            <w:r>
              <w:t>HS/OA/17/00709</w:t>
            </w:r>
          </w:p>
        </w:tc>
        <w:tc>
          <w:tcPr>
            <w:tcW w:w="1171" w:type="dxa"/>
          </w:tcPr>
          <w:p w14:paraId="31996E50" w14:textId="77777777" w:rsidR="00082D43" w:rsidRDefault="00082D43" w:rsidP="000E4BB7">
            <w:r>
              <w:t>£11109.49</w:t>
            </w:r>
          </w:p>
        </w:tc>
        <w:tc>
          <w:tcPr>
            <w:tcW w:w="1157" w:type="dxa"/>
          </w:tcPr>
          <w:p w14:paraId="6629BFF0" w14:textId="77777777" w:rsidR="00082D43" w:rsidRDefault="00082D43" w:rsidP="000E4BB7">
            <w:r>
              <w:t>£8,500</w:t>
            </w:r>
          </w:p>
        </w:tc>
        <w:tc>
          <w:tcPr>
            <w:tcW w:w="1017" w:type="dxa"/>
          </w:tcPr>
          <w:p w14:paraId="6AB541F6" w14:textId="34FC27B1" w:rsidR="00082D43" w:rsidRPr="002533C3" w:rsidRDefault="00082D43" w:rsidP="000E4BB7">
            <w:pPr>
              <w:rPr>
                <w:b/>
                <w:bCs/>
                <w:sz w:val="36"/>
                <w:szCs w:val="36"/>
              </w:rPr>
            </w:pPr>
            <w:r w:rsidRPr="002533C3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88" w:type="dxa"/>
          </w:tcPr>
          <w:p w14:paraId="7320780B" w14:textId="77777777" w:rsidR="00082D43" w:rsidRDefault="00082D43" w:rsidP="000E4BB7"/>
        </w:tc>
        <w:tc>
          <w:tcPr>
            <w:tcW w:w="1067" w:type="dxa"/>
          </w:tcPr>
          <w:p w14:paraId="46B06A29" w14:textId="0877B326" w:rsidR="00082D43" w:rsidRDefault="00082D43" w:rsidP="000E4BB7">
            <w:r>
              <w:t>07/2019</w:t>
            </w:r>
          </w:p>
        </w:tc>
        <w:tc>
          <w:tcPr>
            <w:tcW w:w="1666" w:type="dxa"/>
          </w:tcPr>
          <w:p w14:paraId="048D89DA" w14:textId="156AB0A1" w:rsidR="00082D43" w:rsidRDefault="00082D43" w:rsidP="000E4BB7">
            <w:r>
              <w:t>£3069.96</w:t>
            </w:r>
          </w:p>
        </w:tc>
        <w:tc>
          <w:tcPr>
            <w:tcW w:w="2925" w:type="dxa"/>
          </w:tcPr>
          <w:p w14:paraId="179AD20D" w14:textId="77777777" w:rsidR="00082D43" w:rsidRDefault="00082D43" w:rsidP="000E4BB7"/>
        </w:tc>
      </w:tr>
      <w:tr w:rsidR="00082D43" w14:paraId="7B36EA8F" w14:textId="2978FBD0" w:rsidTr="00082D43">
        <w:tc>
          <w:tcPr>
            <w:tcW w:w="2316" w:type="dxa"/>
          </w:tcPr>
          <w:p w14:paraId="5FF3DFB3" w14:textId="7A72719B" w:rsidR="00082D43" w:rsidRDefault="00082D43">
            <w:r>
              <w:t xml:space="preserve">777 The </w:t>
            </w:r>
            <w:r w:rsidR="00D2324E">
              <w:t>R</w:t>
            </w:r>
            <w:r>
              <w:t>idge</w:t>
            </w:r>
          </w:p>
        </w:tc>
        <w:tc>
          <w:tcPr>
            <w:tcW w:w="1763" w:type="dxa"/>
          </w:tcPr>
          <w:p w14:paraId="29D9B437" w14:textId="047B7B8F" w:rsidR="00082D43" w:rsidRDefault="00082D43">
            <w:r>
              <w:t>HS/FA/20/00970</w:t>
            </w:r>
          </w:p>
        </w:tc>
        <w:tc>
          <w:tcPr>
            <w:tcW w:w="1171" w:type="dxa"/>
          </w:tcPr>
          <w:p w14:paraId="1FE361D2" w14:textId="500B0C39" w:rsidR="00082D43" w:rsidRDefault="00082D43">
            <w:r>
              <w:t>£48,000</w:t>
            </w:r>
          </w:p>
        </w:tc>
        <w:tc>
          <w:tcPr>
            <w:tcW w:w="1157" w:type="dxa"/>
          </w:tcPr>
          <w:p w14:paraId="712C85D6" w14:textId="2D61F7F7" w:rsidR="00082D43" w:rsidRDefault="00260A6A">
            <w:r>
              <w:t xml:space="preserve">£29,500 </w:t>
            </w:r>
          </w:p>
        </w:tc>
        <w:tc>
          <w:tcPr>
            <w:tcW w:w="1017" w:type="dxa"/>
          </w:tcPr>
          <w:p w14:paraId="541746B2" w14:textId="77777777" w:rsidR="00082D43" w:rsidRDefault="00082D43"/>
        </w:tc>
        <w:tc>
          <w:tcPr>
            <w:tcW w:w="1088" w:type="dxa"/>
          </w:tcPr>
          <w:p w14:paraId="7D21AA50" w14:textId="5F66C3FA" w:rsidR="00082D43" w:rsidRDefault="00260A6A">
            <w:r w:rsidRPr="002533C3">
              <w:rPr>
                <w:rFonts w:cstheme="minorHAnsi"/>
                <w:b/>
                <w:bCs/>
                <w:color w:val="92D050"/>
                <w:sz w:val="36"/>
                <w:szCs w:val="36"/>
              </w:rPr>
              <w:t>√</w:t>
            </w:r>
          </w:p>
        </w:tc>
        <w:tc>
          <w:tcPr>
            <w:tcW w:w="1067" w:type="dxa"/>
          </w:tcPr>
          <w:p w14:paraId="1C00007E" w14:textId="3FAA2386" w:rsidR="00082D43" w:rsidRDefault="00082D43">
            <w:r>
              <w:t>2022</w:t>
            </w:r>
          </w:p>
        </w:tc>
        <w:tc>
          <w:tcPr>
            <w:tcW w:w="1666" w:type="dxa"/>
          </w:tcPr>
          <w:p w14:paraId="7FB5C553" w14:textId="5D813640" w:rsidR="00082D43" w:rsidRDefault="005A3F6E">
            <w:r>
              <w:t>£</w:t>
            </w:r>
            <w:r w:rsidR="003E2910">
              <w:t>2295</w:t>
            </w:r>
          </w:p>
        </w:tc>
        <w:tc>
          <w:tcPr>
            <w:tcW w:w="2925" w:type="dxa"/>
          </w:tcPr>
          <w:p w14:paraId="21613228" w14:textId="13FECDDE" w:rsidR="00082D43" w:rsidRDefault="00AC60B6">
            <w:r>
              <w:t xml:space="preserve">Final part of </w:t>
            </w:r>
            <w:r w:rsidR="00AC4045">
              <w:t xml:space="preserve">Award paid </w:t>
            </w:r>
            <w:r>
              <w:t xml:space="preserve">21 </w:t>
            </w:r>
            <w:r w:rsidR="00AC4045">
              <w:t>March 24</w:t>
            </w:r>
          </w:p>
        </w:tc>
      </w:tr>
      <w:tr w:rsidR="00082D43" w14:paraId="6DD095D2" w14:textId="28CDE8F9" w:rsidTr="00082D43">
        <w:tc>
          <w:tcPr>
            <w:tcW w:w="2316" w:type="dxa"/>
          </w:tcPr>
          <w:p w14:paraId="179EE918" w14:textId="60979F46" w:rsidR="00082D43" w:rsidRDefault="00082D43">
            <w:r>
              <w:t>Ashdown House</w:t>
            </w:r>
          </w:p>
        </w:tc>
        <w:tc>
          <w:tcPr>
            <w:tcW w:w="1763" w:type="dxa"/>
          </w:tcPr>
          <w:p w14:paraId="46610F2A" w14:textId="1B45A941" w:rsidR="00082D43" w:rsidRDefault="00082D43">
            <w:r>
              <w:t>HS/FA/21/00003</w:t>
            </w:r>
          </w:p>
        </w:tc>
        <w:tc>
          <w:tcPr>
            <w:tcW w:w="1171" w:type="dxa"/>
          </w:tcPr>
          <w:p w14:paraId="148FA91C" w14:textId="77777777" w:rsidR="00082D43" w:rsidRDefault="00082D43"/>
        </w:tc>
        <w:tc>
          <w:tcPr>
            <w:tcW w:w="1157" w:type="dxa"/>
          </w:tcPr>
          <w:p w14:paraId="66574B65" w14:textId="77777777" w:rsidR="00082D43" w:rsidRDefault="00082D43"/>
        </w:tc>
        <w:tc>
          <w:tcPr>
            <w:tcW w:w="1017" w:type="dxa"/>
          </w:tcPr>
          <w:p w14:paraId="3DF452AF" w14:textId="77777777" w:rsidR="00082D43" w:rsidRDefault="00082D43"/>
        </w:tc>
        <w:tc>
          <w:tcPr>
            <w:tcW w:w="1088" w:type="dxa"/>
          </w:tcPr>
          <w:p w14:paraId="15482C74" w14:textId="77777777" w:rsidR="00082D43" w:rsidRDefault="00082D43"/>
        </w:tc>
        <w:tc>
          <w:tcPr>
            <w:tcW w:w="1067" w:type="dxa"/>
          </w:tcPr>
          <w:p w14:paraId="6114DA1D" w14:textId="65EF8D04" w:rsidR="00082D43" w:rsidRDefault="00317FAE">
            <w:r>
              <w:t>06/2022</w:t>
            </w:r>
          </w:p>
        </w:tc>
        <w:tc>
          <w:tcPr>
            <w:tcW w:w="1666" w:type="dxa"/>
          </w:tcPr>
          <w:p w14:paraId="2C1E1D72" w14:textId="01837801" w:rsidR="00082D43" w:rsidRDefault="00082D43">
            <w:r>
              <w:t>£</w:t>
            </w:r>
            <w:r w:rsidR="000958E0">
              <w:t>2160</w:t>
            </w:r>
          </w:p>
        </w:tc>
        <w:tc>
          <w:tcPr>
            <w:tcW w:w="2925" w:type="dxa"/>
          </w:tcPr>
          <w:p w14:paraId="7E6F5406" w14:textId="1E4FCF43" w:rsidR="00082D43" w:rsidRDefault="00082D43">
            <w:r>
              <w:t>(Landmark Chambers - responding to pre protocol letter after resolution to grant agreed at committee)</w:t>
            </w:r>
          </w:p>
        </w:tc>
      </w:tr>
      <w:tr w:rsidR="000958E0" w14:paraId="436C7973" w14:textId="77777777" w:rsidTr="00082D43">
        <w:tc>
          <w:tcPr>
            <w:tcW w:w="2316" w:type="dxa"/>
          </w:tcPr>
          <w:p w14:paraId="09D433F1" w14:textId="748E2D4B" w:rsidR="000958E0" w:rsidRDefault="000958E0">
            <w:r>
              <w:t>Ashdown House</w:t>
            </w:r>
          </w:p>
        </w:tc>
        <w:tc>
          <w:tcPr>
            <w:tcW w:w="1763" w:type="dxa"/>
          </w:tcPr>
          <w:p w14:paraId="2CD95063" w14:textId="3CB3746F" w:rsidR="000958E0" w:rsidRDefault="000958E0">
            <w:r>
              <w:t>HS/FA/21/00003</w:t>
            </w:r>
          </w:p>
        </w:tc>
        <w:tc>
          <w:tcPr>
            <w:tcW w:w="1171" w:type="dxa"/>
          </w:tcPr>
          <w:p w14:paraId="27EDA368" w14:textId="77777777" w:rsidR="000958E0" w:rsidRDefault="000958E0"/>
        </w:tc>
        <w:tc>
          <w:tcPr>
            <w:tcW w:w="1157" w:type="dxa"/>
          </w:tcPr>
          <w:p w14:paraId="62A2A485" w14:textId="77777777" w:rsidR="000958E0" w:rsidRDefault="000958E0"/>
        </w:tc>
        <w:tc>
          <w:tcPr>
            <w:tcW w:w="1017" w:type="dxa"/>
          </w:tcPr>
          <w:p w14:paraId="148E770F" w14:textId="77777777" w:rsidR="000958E0" w:rsidRDefault="000958E0"/>
        </w:tc>
        <w:tc>
          <w:tcPr>
            <w:tcW w:w="1088" w:type="dxa"/>
          </w:tcPr>
          <w:p w14:paraId="387A2DC7" w14:textId="77777777" w:rsidR="000958E0" w:rsidRDefault="000958E0"/>
        </w:tc>
        <w:tc>
          <w:tcPr>
            <w:tcW w:w="1067" w:type="dxa"/>
          </w:tcPr>
          <w:p w14:paraId="423AEF07" w14:textId="62F154CC" w:rsidR="00317FAE" w:rsidRDefault="00317FAE">
            <w:r>
              <w:t>09/2021</w:t>
            </w:r>
          </w:p>
        </w:tc>
        <w:tc>
          <w:tcPr>
            <w:tcW w:w="1666" w:type="dxa"/>
          </w:tcPr>
          <w:p w14:paraId="69F0C12C" w14:textId="061A5414" w:rsidR="000958E0" w:rsidRDefault="000958E0">
            <w:r>
              <w:t>£1440</w:t>
            </w:r>
          </w:p>
        </w:tc>
        <w:tc>
          <w:tcPr>
            <w:tcW w:w="2925" w:type="dxa"/>
          </w:tcPr>
          <w:p w14:paraId="542FA8D3" w14:textId="03DB5A24" w:rsidR="000958E0" w:rsidRDefault="000958E0">
            <w:r>
              <w:t>Landmark Chambers – barristers opinion segregation of site for purposes of sequential test</w:t>
            </w:r>
          </w:p>
        </w:tc>
      </w:tr>
      <w:tr w:rsidR="0097240E" w14:paraId="1CAA57B9" w14:textId="77777777" w:rsidTr="00082D43">
        <w:tc>
          <w:tcPr>
            <w:tcW w:w="2316" w:type="dxa"/>
          </w:tcPr>
          <w:p w14:paraId="51179A51" w14:textId="0DCAE558" w:rsidR="0097240E" w:rsidRDefault="0097240E">
            <w:r>
              <w:t>Harrow Lane Playing Fields</w:t>
            </w:r>
          </w:p>
        </w:tc>
        <w:tc>
          <w:tcPr>
            <w:tcW w:w="1763" w:type="dxa"/>
          </w:tcPr>
          <w:p w14:paraId="1187F1AA" w14:textId="08D95605" w:rsidR="0097240E" w:rsidRDefault="003802C5">
            <w:r>
              <w:t>HS/DS/21/01044</w:t>
            </w:r>
          </w:p>
        </w:tc>
        <w:tc>
          <w:tcPr>
            <w:tcW w:w="1171" w:type="dxa"/>
          </w:tcPr>
          <w:p w14:paraId="274ED13D" w14:textId="77777777" w:rsidR="0097240E" w:rsidRDefault="0097240E"/>
        </w:tc>
        <w:tc>
          <w:tcPr>
            <w:tcW w:w="1157" w:type="dxa"/>
          </w:tcPr>
          <w:p w14:paraId="15BDD9C5" w14:textId="77777777" w:rsidR="0097240E" w:rsidRDefault="0097240E"/>
        </w:tc>
        <w:tc>
          <w:tcPr>
            <w:tcW w:w="1017" w:type="dxa"/>
          </w:tcPr>
          <w:p w14:paraId="2F580E6B" w14:textId="77777777" w:rsidR="0097240E" w:rsidRDefault="0097240E"/>
        </w:tc>
        <w:tc>
          <w:tcPr>
            <w:tcW w:w="1088" w:type="dxa"/>
          </w:tcPr>
          <w:p w14:paraId="602DED05" w14:textId="77777777" w:rsidR="0097240E" w:rsidRDefault="0097240E"/>
        </w:tc>
        <w:tc>
          <w:tcPr>
            <w:tcW w:w="1067" w:type="dxa"/>
          </w:tcPr>
          <w:p w14:paraId="5CEAC3F6" w14:textId="30749F9F" w:rsidR="0097240E" w:rsidRDefault="00E648F4">
            <w:r>
              <w:t>01/2022</w:t>
            </w:r>
          </w:p>
        </w:tc>
        <w:tc>
          <w:tcPr>
            <w:tcW w:w="1666" w:type="dxa"/>
          </w:tcPr>
          <w:p w14:paraId="356CAAD4" w14:textId="636D6009" w:rsidR="0097240E" w:rsidRDefault="003802C5">
            <w:r>
              <w:t>£</w:t>
            </w:r>
            <w:r w:rsidR="000958E0">
              <w:t>1680</w:t>
            </w:r>
          </w:p>
        </w:tc>
        <w:tc>
          <w:tcPr>
            <w:tcW w:w="2925" w:type="dxa"/>
          </w:tcPr>
          <w:p w14:paraId="24E26786" w14:textId="1D8B5517" w:rsidR="0097240E" w:rsidRDefault="003802C5">
            <w:r>
              <w:t>Landmark Chambers – advi</w:t>
            </w:r>
            <w:r w:rsidR="00E648F4">
              <w:t>c</w:t>
            </w:r>
            <w:r>
              <w:t>e on question of 100% affordable provision – whether this is material change from OA app or can it be lawfully determined.</w:t>
            </w:r>
          </w:p>
        </w:tc>
      </w:tr>
      <w:tr w:rsidR="0018598A" w14:paraId="62EB4932" w14:textId="77777777" w:rsidTr="00082D43">
        <w:tc>
          <w:tcPr>
            <w:tcW w:w="2316" w:type="dxa"/>
          </w:tcPr>
          <w:p w14:paraId="3FA1202A" w14:textId="7110FEF5" w:rsidR="0018598A" w:rsidRDefault="005F0FE3">
            <w:r>
              <w:t>52 Caves Road</w:t>
            </w:r>
          </w:p>
        </w:tc>
        <w:tc>
          <w:tcPr>
            <w:tcW w:w="1763" w:type="dxa"/>
          </w:tcPr>
          <w:p w14:paraId="235BC686" w14:textId="3B9BA72E" w:rsidR="0018598A" w:rsidRDefault="00DF113C">
            <w:r>
              <w:t>EN/21/00019</w:t>
            </w:r>
          </w:p>
        </w:tc>
        <w:tc>
          <w:tcPr>
            <w:tcW w:w="1171" w:type="dxa"/>
          </w:tcPr>
          <w:p w14:paraId="12DBBF4D" w14:textId="4651420C" w:rsidR="0018598A" w:rsidRDefault="00DF113C">
            <w:r>
              <w:t>£14,590</w:t>
            </w:r>
          </w:p>
        </w:tc>
        <w:tc>
          <w:tcPr>
            <w:tcW w:w="1157" w:type="dxa"/>
          </w:tcPr>
          <w:p w14:paraId="13469E6E" w14:textId="099F9F0D" w:rsidR="0018598A" w:rsidRDefault="00DF113C">
            <w:r>
              <w:t>Currently undecided</w:t>
            </w:r>
          </w:p>
        </w:tc>
        <w:tc>
          <w:tcPr>
            <w:tcW w:w="1017" w:type="dxa"/>
          </w:tcPr>
          <w:p w14:paraId="173890F2" w14:textId="77777777" w:rsidR="0018598A" w:rsidRDefault="0018598A"/>
        </w:tc>
        <w:tc>
          <w:tcPr>
            <w:tcW w:w="1088" w:type="dxa"/>
          </w:tcPr>
          <w:p w14:paraId="701D431E" w14:textId="77777777" w:rsidR="0018598A" w:rsidRDefault="0018598A"/>
        </w:tc>
        <w:tc>
          <w:tcPr>
            <w:tcW w:w="1067" w:type="dxa"/>
          </w:tcPr>
          <w:p w14:paraId="2DA4C05F" w14:textId="77777777" w:rsidR="0018598A" w:rsidRDefault="0018598A"/>
        </w:tc>
        <w:tc>
          <w:tcPr>
            <w:tcW w:w="1666" w:type="dxa"/>
          </w:tcPr>
          <w:p w14:paraId="2474DAB3" w14:textId="226E6A76" w:rsidR="0018598A" w:rsidRDefault="00DF113C">
            <w:r>
              <w:t xml:space="preserve"> </w:t>
            </w:r>
          </w:p>
        </w:tc>
        <w:tc>
          <w:tcPr>
            <w:tcW w:w="2925" w:type="dxa"/>
          </w:tcPr>
          <w:p w14:paraId="31F6C4DE" w14:textId="1CA93A64" w:rsidR="0018598A" w:rsidRDefault="00AF2B5E">
            <w:r>
              <w:t xml:space="preserve">The appellants information submitted as part of the claim shows that the only work that was carried out after the quashed </w:t>
            </w:r>
            <w:r w:rsidR="0000573E">
              <w:t>notice was initially served and before it was withdrawn by us.</w:t>
            </w:r>
            <w:r w:rsidR="005651C1">
              <w:t xml:space="preserve"> I don’t </w:t>
            </w:r>
            <w:r w:rsidR="005651C1">
              <w:lastRenderedPageBreak/>
              <w:t>envisage the costs, including legal costs, will be more than £1000.</w:t>
            </w:r>
          </w:p>
        </w:tc>
      </w:tr>
    </w:tbl>
    <w:p w14:paraId="1469196D" w14:textId="77777777" w:rsidR="00F7262E" w:rsidRDefault="00F7262E"/>
    <w:sectPr w:rsidR="00F7262E" w:rsidSect="002533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55"/>
    <w:rsid w:val="0000573E"/>
    <w:rsid w:val="0004179D"/>
    <w:rsid w:val="00082D43"/>
    <w:rsid w:val="000958E0"/>
    <w:rsid w:val="001245CD"/>
    <w:rsid w:val="0018598A"/>
    <w:rsid w:val="00240D93"/>
    <w:rsid w:val="002533C3"/>
    <w:rsid w:val="00260A6A"/>
    <w:rsid w:val="00317FAE"/>
    <w:rsid w:val="003802C5"/>
    <w:rsid w:val="003E2910"/>
    <w:rsid w:val="00426009"/>
    <w:rsid w:val="00442A69"/>
    <w:rsid w:val="00487875"/>
    <w:rsid w:val="004E65FE"/>
    <w:rsid w:val="005110A4"/>
    <w:rsid w:val="005651C1"/>
    <w:rsid w:val="005A3F6E"/>
    <w:rsid w:val="005F0FE3"/>
    <w:rsid w:val="006F172B"/>
    <w:rsid w:val="00835698"/>
    <w:rsid w:val="008A58C4"/>
    <w:rsid w:val="0097240E"/>
    <w:rsid w:val="00AC4045"/>
    <w:rsid w:val="00AC60B6"/>
    <w:rsid w:val="00AE1D37"/>
    <w:rsid w:val="00AF2B5E"/>
    <w:rsid w:val="00AF61BE"/>
    <w:rsid w:val="00C21755"/>
    <w:rsid w:val="00D109D0"/>
    <w:rsid w:val="00D2324E"/>
    <w:rsid w:val="00DF113C"/>
    <w:rsid w:val="00E648F4"/>
    <w:rsid w:val="00F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B4D8"/>
  <w15:chartTrackingRefBased/>
  <w15:docId w15:val="{C2041216-0C65-491F-86EF-98965BA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e983a-f1d7-4d3c-91db-252f29f3e159">
      <Terms xmlns="http://schemas.microsoft.com/office/infopath/2007/PartnerControls"/>
    </lcf76f155ced4ddcb4097134ff3c332f>
    <TaxCatchAll xmlns="2e35a3c0-6932-4795-bc29-a2b24e5097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C97FC8150DD49AD465F8A73657C42" ma:contentTypeVersion="18" ma:contentTypeDescription="Create a new document." ma:contentTypeScope="" ma:versionID="b4688000c8407303e74815a837f5d8d5">
  <xsd:schema xmlns:xsd="http://www.w3.org/2001/XMLSchema" xmlns:xs="http://www.w3.org/2001/XMLSchema" xmlns:p="http://schemas.microsoft.com/office/2006/metadata/properties" xmlns:ns2="066e983a-f1d7-4d3c-91db-252f29f3e159" xmlns:ns3="2e35a3c0-6932-4795-bc29-a2b24e509738" targetNamespace="http://schemas.microsoft.com/office/2006/metadata/properties" ma:root="true" ma:fieldsID="12e5174cc57a6ba1f4a05d4855660de4" ns2:_="" ns3:_="">
    <xsd:import namespace="066e983a-f1d7-4d3c-91db-252f29f3e159"/>
    <xsd:import namespace="2e35a3c0-6932-4795-bc29-a2b24e509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983a-f1d7-4d3c-91db-252f29f3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ef9598-3777-45da-a216-e1336f4ab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5a3c0-6932-4795-bc29-a2b24e50973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343d2e-ee7c-4f66-99a6-d34955280cf8}" ma:internalName="TaxCatchAll" ma:showField="CatchAllData" ma:web="2e35a3c0-6932-4795-bc29-a2b24e509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4ACFD-2505-4406-8409-A5CDC83456B4}">
  <ds:schemaRefs>
    <ds:schemaRef ds:uri="http://schemas.microsoft.com/office/2006/metadata/properties"/>
    <ds:schemaRef ds:uri="http://schemas.microsoft.com/office/infopath/2007/PartnerControls"/>
    <ds:schemaRef ds:uri="066e983a-f1d7-4d3c-91db-252f29f3e159"/>
    <ds:schemaRef ds:uri="2e35a3c0-6932-4795-bc29-a2b24e509738"/>
  </ds:schemaRefs>
</ds:datastoreItem>
</file>

<file path=customXml/itemProps2.xml><?xml version="1.0" encoding="utf-8"?>
<ds:datastoreItem xmlns:ds="http://schemas.openxmlformats.org/officeDocument/2006/customXml" ds:itemID="{C8D5F415-39C1-46C0-994A-771E87C4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e983a-f1d7-4d3c-91db-252f29f3e159"/>
    <ds:schemaRef ds:uri="2e35a3c0-6932-4795-bc29-a2b24e509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3B769-A817-4B44-9012-2BD668E7A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Evans</dc:creator>
  <cp:keywords/>
  <dc:description/>
  <cp:lastModifiedBy>Lisa Greathead</cp:lastModifiedBy>
  <cp:revision>2</cp:revision>
  <dcterms:created xsi:type="dcterms:W3CDTF">2025-05-29T10:50:00Z</dcterms:created>
  <dcterms:modified xsi:type="dcterms:W3CDTF">2025-05-29T10:50:00Z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0x01010063DC97FC8150DD49AD465F8A73657C42</vt:lpwstr>
  </property>
  <property fmtid="{D5CDD505-2E9C-101B-9397-08002B2CF9AE}" pid="3" name="MediaServiceImageTags">
    <vt:lpwstr/>
  </property>
</Properties>
</file>