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C7" w:rsidRPr="003B01D7" w:rsidRDefault="00C12AC7">
      <w:pPr>
        <w:rPr>
          <w:sz w:val="20"/>
          <w:szCs w:val="20"/>
        </w:rPr>
      </w:pPr>
      <w:r w:rsidRPr="003B01D7">
        <w:rPr>
          <w:sz w:val="20"/>
          <w:szCs w:val="20"/>
        </w:rPr>
        <w:t>FOI215606</w:t>
      </w:r>
    </w:p>
    <w:p w:rsidR="00C12AC7" w:rsidRPr="003B01D7" w:rsidRDefault="00C12AC7">
      <w:pPr>
        <w:rPr>
          <w:sz w:val="20"/>
          <w:szCs w:val="20"/>
        </w:rPr>
      </w:pPr>
    </w:p>
    <w:p w:rsidR="002F403E" w:rsidRPr="003B01D7" w:rsidRDefault="00E97AD1">
      <w:pPr>
        <w:rPr>
          <w:sz w:val="20"/>
          <w:szCs w:val="20"/>
        </w:rPr>
      </w:pPr>
      <w:r w:rsidRPr="003B01D7">
        <w:rPr>
          <w:sz w:val="20"/>
          <w:szCs w:val="20"/>
        </w:rPr>
        <w:t>Sites of 10 dwellings or more with Section 106 agreements between April 2009 and March 2017</w:t>
      </w:r>
    </w:p>
    <w:p w:rsidR="00E97AD1" w:rsidRDefault="00E97AD1"/>
    <w:p w:rsidR="00E97AD1" w:rsidRDefault="00E97A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97AD1" w:rsidTr="00E97AD1">
        <w:tc>
          <w:tcPr>
            <w:tcW w:w="4621" w:type="dxa"/>
          </w:tcPr>
          <w:p w:rsidR="00E97AD1" w:rsidRDefault="00E97AD1">
            <w:r>
              <w:t>Application number</w:t>
            </w:r>
          </w:p>
        </w:tc>
        <w:tc>
          <w:tcPr>
            <w:tcW w:w="4621" w:type="dxa"/>
          </w:tcPr>
          <w:p w:rsidR="00E97AD1" w:rsidRDefault="00E97AD1">
            <w:r>
              <w:t>Address</w:t>
            </w:r>
          </w:p>
        </w:tc>
      </w:tr>
      <w:tr w:rsidR="00E97AD1" w:rsidTr="00E97AD1">
        <w:tc>
          <w:tcPr>
            <w:tcW w:w="4621" w:type="dxa"/>
          </w:tcPr>
          <w:p w:rsidR="00E97AD1" w:rsidRPr="003B01D7" w:rsidRDefault="00C12AC7" w:rsidP="00C12AC7">
            <w:pPr>
              <w:rPr>
                <w:rFonts w:cs="Arial"/>
                <w:color w:val="000000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HS/LA/10/00385</w:t>
            </w:r>
          </w:p>
          <w:p w:rsidR="003B01D7" w:rsidRPr="003B01D7" w:rsidRDefault="003B01D7" w:rsidP="00C12AC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HS/DS/09/00560</w:t>
            </w:r>
          </w:p>
        </w:tc>
        <w:tc>
          <w:tcPr>
            <w:tcW w:w="4621" w:type="dxa"/>
          </w:tcPr>
          <w:p w:rsidR="00E97AD1" w:rsidRPr="003B01D7" w:rsidRDefault="00C12AC7" w:rsidP="00C12AC7">
            <w:pPr>
              <w:rPr>
                <w:rFonts w:cs="Arial"/>
                <w:color w:val="000000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 xml:space="preserve">Millennium Community at </w:t>
            </w:r>
            <w:proofErr w:type="spellStart"/>
            <w:r w:rsidRPr="003B01D7">
              <w:rPr>
                <w:rFonts w:cs="Arial"/>
                <w:color w:val="000000"/>
                <w:sz w:val="20"/>
                <w:szCs w:val="20"/>
              </w:rPr>
              <w:t>Broomgrove</w:t>
            </w:r>
            <w:proofErr w:type="spellEnd"/>
          </w:p>
          <w:p w:rsidR="003B01D7" w:rsidRPr="003B01D7" w:rsidRDefault="003B01D7" w:rsidP="00C12AC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Phase 1a Ore Valley (revision of existing S106)</w:t>
            </w:r>
          </w:p>
        </w:tc>
      </w:tr>
      <w:tr w:rsidR="00E97AD1" w:rsidTr="00E97AD1">
        <w:tc>
          <w:tcPr>
            <w:tcW w:w="4621" w:type="dxa"/>
          </w:tcPr>
          <w:p w:rsidR="00E97AD1" w:rsidRPr="003B01D7" w:rsidRDefault="00C12AC7" w:rsidP="00C12AC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HS/FA/06/00557</w:t>
            </w:r>
          </w:p>
        </w:tc>
        <w:tc>
          <w:tcPr>
            <w:tcW w:w="4621" w:type="dxa"/>
          </w:tcPr>
          <w:p w:rsidR="00E97AD1" w:rsidRPr="003B01D7" w:rsidRDefault="00C12AC7" w:rsidP="00C12AC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8-157 and 199-221 Farley Bank</w:t>
            </w:r>
          </w:p>
        </w:tc>
      </w:tr>
      <w:tr w:rsidR="00E97AD1" w:rsidTr="00E97AD1">
        <w:tc>
          <w:tcPr>
            <w:tcW w:w="4621" w:type="dxa"/>
          </w:tcPr>
          <w:p w:rsidR="00E97AD1" w:rsidRPr="003B01D7" w:rsidRDefault="003B01D7" w:rsidP="003B01D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HS/FA/09/00485</w:t>
            </w:r>
          </w:p>
        </w:tc>
        <w:tc>
          <w:tcPr>
            <w:tcW w:w="4621" w:type="dxa"/>
          </w:tcPr>
          <w:p w:rsidR="00E97AD1" w:rsidRPr="003B01D7" w:rsidRDefault="00C12AC7" w:rsidP="00C12AC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Hastings College, 80 St Saviours Road</w:t>
            </w:r>
          </w:p>
        </w:tc>
      </w:tr>
      <w:tr w:rsidR="00E97AD1" w:rsidTr="00E97AD1">
        <w:tc>
          <w:tcPr>
            <w:tcW w:w="4621" w:type="dxa"/>
          </w:tcPr>
          <w:p w:rsidR="00E97AD1" w:rsidRPr="003B01D7" w:rsidRDefault="003B01D7" w:rsidP="003B01D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HS/LA/12/00602</w:t>
            </w:r>
          </w:p>
        </w:tc>
        <w:tc>
          <w:tcPr>
            <w:tcW w:w="4621" w:type="dxa"/>
          </w:tcPr>
          <w:p w:rsidR="00E97AD1" w:rsidRPr="003B01D7" w:rsidRDefault="00C12AC7" w:rsidP="00C12AC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 xml:space="preserve">Allotments rear of 26 </w:t>
            </w:r>
            <w:proofErr w:type="spellStart"/>
            <w:r w:rsidRPr="003B01D7">
              <w:rPr>
                <w:rFonts w:cs="Arial"/>
                <w:color w:val="000000"/>
                <w:sz w:val="20"/>
                <w:szCs w:val="20"/>
              </w:rPr>
              <w:t>Broomgrove</w:t>
            </w:r>
            <w:proofErr w:type="spellEnd"/>
            <w:r w:rsidRPr="003B01D7">
              <w:rPr>
                <w:rFonts w:cs="Arial"/>
                <w:color w:val="000000"/>
                <w:sz w:val="20"/>
                <w:szCs w:val="20"/>
              </w:rPr>
              <w:t xml:space="preserve"> Road</w:t>
            </w:r>
          </w:p>
        </w:tc>
      </w:tr>
      <w:tr w:rsidR="00E97AD1" w:rsidTr="00E97AD1">
        <w:tc>
          <w:tcPr>
            <w:tcW w:w="4621" w:type="dxa"/>
          </w:tcPr>
          <w:p w:rsidR="00E97AD1" w:rsidRPr="003B01D7" w:rsidRDefault="003B01D7" w:rsidP="003B01D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HS/OA/11/00854</w:t>
            </w:r>
          </w:p>
        </w:tc>
        <w:tc>
          <w:tcPr>
            <w:tcW w:w="4621" w:type="dxa"/>
          </w:tcPr>
          <w:p w:rsidR="00E97AD1" w:rsidRPr="003B01D7" w:rsidRDefault="00C12AC7" w:rsidP="00C12AC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 xml:space="preserve">Former Nursery Site, </w:t>
            </w:r>
            <w:proofErr w:type="spellStart"/>
            <w:r w:rsidRPr="003B01D7">
              <w:rPr>
                <w:rFonts w:cs="Arial"/>
                <w:color w:val="000000"/>
                <w:sz w:val="20"/>
                <w:szCs w:val="20"/>
              </w:rPr>
              <w:t>Redgeland</w:t>
            </w:r>
            <w:proofErr w:type="spellEnd"/>
            <w:r w:rsidRPr="003B01D7">
              <w:rPr>
                <w:rFonts w:cs="Arial"/>
                <w:color w:val="000000"/>
                <w:sz w:val="20"/>
                <w:szCs w:val="20"/>
              </w:rPr>
              <w:t xml:space="preserve"> Rise</w:t>
            </w:r>
          </w:p>
        </w:tc>
      </w:tr>
      <w:tr w:rsidR="00E97AD1" w:rsidTr="00E97AD1">
        <w:tc>
          <w:tcPr>
            <w:tcW w:w="4621" w:type="dxa"/>
          </w:tcPr>
          <w:p w:rsidR="003B01D7" w:rsidRPr="003B01D7" w:rsidRDefault="003B01D7" w:rsidP="003B01D7">
            <w:pPr>
              <w:rPr>
                <w:rFonts w:cs="Arial"/>
                <w:color w:val="000000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HS/FA/13/00377</w:t>
            </w:r>
          </w:p>
          <w:p w:rsidR="00E97AD1" w:rsidRPr="003B01D7" w:rsidRDefault="00E97AD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21" w:type="dxa"/>
          </w:tcPr>
          <w:p w:rsidR="00E97AD1" w:rsidRPr="003B01D7" w:rsidRDefault="00C12AC7" w:rsidP="00C12AC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Land east of Pennine Rise (site of former 2-28 evens The Cheviots and all Cotswold Close) Ore Valley</w:t>
            </w:r>
          </w:p>
        </w:tc>
      </w:tr>
      <w:tr w:rsidR="00E97AD1" w:rsidTr="00E97AD1">
        <w:tc>
          <w:tcPr>
            <w:tcW w:w="4621" w:type="dxa"/>
          </w:tcPr>
          <w:p w:rsidR="00E97AD1" w:rsidRPr="003B01D7" w:rsidRDefault="003B01D7" w:rsidP="003B01D7">
            <w:pPr>
              <w:rPr>
                <w:rFonts w:cs="Arial"/>
                <w:b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HS/OA/07/00895</w:t>
            </w:r>
          </w:p>
        </w:tc>
        <w:tc>
          <w:tcPr>
            <w:tcW w:w="4621" w:type="dxa"/>
          </w:tcPr>
          <w:p w:rsidR="00E97AD1" w:rsidRPr="003B01D7" w:rsidRDefault="00C12AC7" w:rsidP="00C12AC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Mayfield J, Mayfield Lane</w:t>
            </w:r>
          </w:p>
        </w:tc>
      </w:tr>
      <w:tr w:rsidR="00E97AD1" w:rsidTr="00E97AD1">
        <w:tc>
          <w:tcPr>
            <w:tcW w:w="4621" w:type="dxa"/>
          </w:tcPr>
          <w:p w:rsidR="003B01D7" w:rsidRPr="003B01D7" w:rsidRDefault="003B01D7" w:rsidP="003B01D7">
            <w:pPr>
              <w:rPr>
                <w:rFonts w:cs="Arial"/>
                <w:color w:val="000000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HS/FA/13/00590</w:t>
            </w:r>
          </w:p>
          <w:p w:rsidR="00E97AD1" w:rsidRPr="003B01D7" w:rsidRDefault="00E97AD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E97AD1" w:rsidRPr="003B01D7" w:rsidRDefault="00C12AC7" w:rsidP="00C12AC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Hastings College of Arts &amp; Technology, Archery Road</w:t>
            </w:r>
          </w:p>
        </w:tc>
      </w:tr>
      <w:tr w:rsidR="00E97AD1" w:rsidTr="00E97AD1">
        <w:tc>
          <w:tcPr>
            <w:tcW w:w="4621" w:type="dxa"/>
          </w:tcPr>
          <w:p w:rsidR="00E97AD1" w:rsidRPr="003B01D7" w:rsidRDefault="003B01D7" w:rsidP="003B01D7">
            <w:pPr>
              <w:rPr>
                <w:rFonts w:cs="Arial"/>
                <w:b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HS/OA/13/00850</w:t>
            </w:r>
          </w:p>
        </w:tc>
        <w:tc>
          <w:tcPr>
            <w:tcW w:w="4621" w:type="dxa"/>
          </w:tcPr>
          <w:p w:rsidR="00E97AD1" w:rsidRPr="003B01D7" w:rsidRDefault="00C12AC7" w:rsidP="00C12AC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309-311 Harold Road</w:t>
            </w:r>
          </w:p>
        </w:tc>
      </w:tr>
      <w:tr w:rsidR="00E97AD1" w:rsidTr="00E97AD1">
        <w:tc>
          <w:tcPr>
            <w:tcW w:w="4621" w:type="dxa"/>
          </w:tcPr>
          <w:p w:rsidR="00E97AD1" w:rsidRPr="003B01D7" w:rsidRDefault="003B01D7" w:rsidP="003B01D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HS/FA/14/00642</w:t>
            </w:r>
          </w:p>
        </w:tc>
        <w:tc>
          <w:tcPr>
            <w:tcW w:w="4621" w:type="dxa"/>
          </w:tcPr>
          <w:p w:rsidR="00E97AD1" w:rsidRPr="003B01D7" w:rsidRDefault="00C12AC7" w:rsidP="00C12AC7">
            <w:pPr>
              <w:rPr>
                <w:rFonts w:cs="Arial"/>
                <w:sz w:val="20"/>
                <w:szCs w:val="20"/>
              </w:rPr>
            </w:pPr>
            <w:r w:rsidRPr="003B01D7">
              <w:rPr>
                <w:rFonts w:cs="Arial"/>
                <w:color w:val="000000"/>
                <w:sz w:val="20"/>
                <w:szCs w:val="20"/>
              </w:rPr>
              <w:t>Land North side of Lancaster Road</w:t>
            </w:r>
          </w:p>
        </w:tc>
      </w:tr>
      <w:tr w:rsidR="00E97AD1" w:rsidTr="00E97AD1">
        <w:tc>
          <w:tcPr>
            <w:tcW w:w="4621" w:type="dxa"/>
          </w:tcPr>
          <w:p w:rsidR="003B01D7" w:rsidRPr="00A5387B" w:rsidRDefault="003B01D7" w:rsidP="003B01D7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sz w:val="20"/>
                <w:szCs w:val="20"/>
              </w:rPr>
              <w:t>HS/FA/09/00179</w:t>
            </w:r>
          </w:p>
          <w:p w:rsidR="003B01D7" w:rsidRPr="00A5387B" w:rsidRDefault="003B01D7" w:rsidP="003B01D7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sz w:val="20"/>
                <w:szCs w:val="20"/>
              </w:rPr>
              <w:t>HS/FA/13/00322</w:t>
            </w:r>
          </w:p>
          <w:p w:rsidR="00E97AD1" w:rsidRPr="00A5387B" w:rsidRDefault="003B01D7" w:rsidP="003B01D7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sz w:val="20"/>
                <w:szCs w:val="20"/>
              </w:rPr>
              <w:t>HS/FA/14/00673</w:t>
            </w:r>
          </w:p>
        </w:tc>
        <w:tc>
          <w:tcPr>
            <w:tcW w:w="4621" w:type="dxa"/>
          </w:tcPr>
          <w:p w:rsidR="00E97AD1" w:rsidRPr="00A5387B" w:rsidRDefault="00C12AC7" w:rsidP="00C12AC7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color w:val="000000"/>
                <w:sz w:val="20"/>
                <w:szCs w:val="20"/>
              </w:rPr>
              <w:t>Osborne House, 245 The Ridge</w:t>
            </w:r>
          </w:p>
        </w:tc>
      </w:tr>
      <w:tr w:rsidR="00E97AD1" w:rsidTr="00E97AD1">
        <w:tc>
          <w:tcPr>
            <w:tcW w:w="4621" w:type="dxa"/>
          </w:tcPr>
          <w:p w:rsidR="00E97AD1" w:rsidRPr="00A5387B" w:rsidRDefault="00E06049" w:rsidP="00E06049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color w:val="000000"/>
                <w:sz w:val="20"/>
                <w:szCs w:val="20"/>
              </w:rPr>
              <w:t>HS/FA/13/00177</w:t>
            </w:r>
          </w:p>
        </w:tc>
        <w:tc>
          <w:tcPr>
            <w:tcW w:w="4621" w:type="dxa"/>
          </w:tcPr>
          <w:p w:rsidR="00E97AD1" w:rsidRPr="00A5387B" w:rsidRDefault="00C12AC7" w:rsidP="00C12AC7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color w:val="000000"/>
                <w:sz w:val="20"/>
                <w:szCs w:val="20"/>
              </w:rPr>
              <w:t>Ore Business Park</w:t>
            </w:r>
          </w:p>
        </w:tc>
      </w:tr>
      <w:tr w:rsidR="00E97AD1" w:rsidTr="00E97AD1">
        <w:tc>
          <w:tcPr>
            <w:tcW w:w="4621" w:type="dxa"/>
          </w:tcPr>
          <w:p w:rsidR="00E97AD1" w:rsidRPr="00A5387B" w:rsidRDefault="00E06049" w:rsidP="00E06049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color w:val="000000"/>
                <w:sz w:val="20"/>
                <w:szCs w:val="20"/>
              </w:rPr>
              <w:t>HS/FA/16/00223</w:t>
            </w:r>
          </w:p>
        </w:tc>
        <w:tc>
          <w:tcPr>
            <w:tcW w:w="4621" w:type="dxa"/>
          </w:tcPr>
          <w:p w:rsidR="00E97AD1" w:rsidRPr="00A5387B" w:rsidRDefault="00E06049" w:rsidP="00E06049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color w:val="000000"/>
                <w:sz w:val="20"/>
                <w:szCs w:val="20"/>
              </w:rPr>
              <w:t>Mayfield J, Mayfield Lane</w:t>
            </w:r>
          </w:p>
        </w:tc>
      </w:tr>
      <w:tr w:rsidR="00E97AD1" w:rsidTr="00E97AD1">
        <w:tc>
          <w:tcPr>
            <w:tcW w:w="4621" w:type="dxa"/>
          </w:tcPr>
          <w:p w:rsidR="00E97AD1" w:rsidRPr="00A5387B" w:rsidRDefault="00E06049" w:rsidP="00E06049">
            <w:pPr>
              <w:rPr>
                <w:rFonts w:cs="Arial"/>
                <w:b/>
                <w:sz w:val="20"/>
                <w:szCs w:val="20"/>
              </w:rPr>
            </w:pPr>
            <w:r w:rsidRPr="00A5387B">
              <w:rPr>
                <w:rFonts w:cs="Arial"/>
                <w:color w:val="000000"/>
                <w:sz w:val="20"/>
                <w:szCs w:val="20"/>
              </w:rPr>
              <w:t>HS/FA/15/00984</w:t>
            </w:r>
          </w:p>
        </w:tc>
        <w:tc>
          <w:tcPr>
            <w:tcW w:w="4621" w:type="dxa"/>
          </w:tcPr>
          <w:p w:rsidR="00E97AD1" w:rsidRPr="00A5387B" w:rsidRDefault="00E06049" w:rsidP="00E06049">
            <w:pPr>
              <w:rPr>
                <w:rFonts w:cs="Arial"/>
                <w:sz w:val="20"/>
                <w:szCs w:val="20"/>
              </w:rPr>
            </w:pPr>
            <w:proofErr w:type="spellStart"/>
            <w:r w:rsidRPr="00A5387B">
              <w:rPr>
                <w:rFonts w:cs="Arial"/>
                <w:color w:val="000000"/>
                <w:sz w:val="20"/>
                <w:szCs w:val="20"/>
              </w:rPr>
              <w:t>Summerfields</w:t>
            </w:r>
            <w:proofErr w:type="spellEnd"/>
            <w:r w:rsidRPr="00A5387B">
              <w:rPr>
                <w:rFonts w:cs="Arial"/>
                <w:color w:val="000000"/>
                <w:sz w:val="20"/>
                <w:szCs w:val="20"/>
              </w:rPr>
              <w:t xml:space="preserve"> Business Centre</w:t>
            </w:r>
          </w:p>
        </w:tc>
      </w:tr>
      <w:tr w:rsidR="00E97AD1" w:rsidTr="00E97AD1">
        <w:tc>
          <w:tcPr>
            <w:tcW w:w="4621" w:type="dxa"/>
          </w:tcPr>
          <w:p w:rsidR="00E97AD1" w:rsidRPr="00A5387B" w:rsidRDefault="00E06049" w:rsidP="00E06049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color w:val="000000"/>
                <w:sz w:val="20"/>
                <w:szCs w:val="20"/>
              </w:rPr>
              <w:t>HS/FA/15/00175</w:t>
            </w:r>
          </w:p>
        </w:tc>
        <w:tc>
          <w:tcPr>
            <w:tcW w:w="4621" w:type="dxa"/>
          </w:tcPr>
          <w:p w:rsidR="00E97AD1" w:rsidRPr="00A5387B" w:rsidRDefault="00E06049" w:rsidP="00E06049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color w:val="000000"/>
                <w:sz w:val="20"/>
                <w:szCs w:val="20"/>
              </w:rPr>
              <w:t>Hastings College of Arts &amp; Technology, Archery Road</w:t>
            </w:r>
          </w:p>
        </w:tc>
      </w:tr>
      <w:tr w:rsidR="00E97AD1" w:rsidTr="00E97AD1">
        <w:tc>
          <w:tcPr>
            <w:tcW w:w="4621" w:type="dxa"/>
          </w:tcPr>
          <w:p w:rsidR="00E97AD1" w:rsidRPr="00A5387B" w:rsidRDefault="00E06049" w:rsidP="00E06049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color w:val="000000"/>
                <w:sz w:val="20"/>
                <w:szCs w:val="20"/>
              </w:rPr>
              <w:t>HS/OA/15/00077</w:t>
            </w:r>
          </w:p>
        </w:tc>
        <w:tc>
          <w:tcPr>
            <w:tcW w:w="4621" w:type="dxa"/>
          </w:tcPr>
          <w:p w:rsidR="00E97AD1" w:rsidRPr="00A5387B" w:rsidRDefault="00E06049" w:rsidP="00E06049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color w:val="000000"/>
                <w:sz w:val="20"/>
                <w:szCs w:val="20"/>
              </w:rPr>
              <w:t xml:space="preserve">Land at and south of </w:t>
            </w:r>
            <w:proofErr w:type="spellStart"/>
            <w:r w:rsidRPr="00A5387B">
              <w:rPr>
                <w:rFonts w:cs="Arial"/>
                <w:color w:val="000000"/>
                <w:sz w:val="20"/>
                <w:szCs w:val="20"/>
              </w:rPr>
              <w:t>Holmhurst</w:t>
            </w:r>
            <w:proofErr w:type="spellEnd"/>
            <w:r w:rsidRPr="00A5387B">
              <w:rPr>
                <w:rFonts w:cs="Arial"/>
                <w:color w:val="000000"/>
                <w:sz w:val="20"/>
                <w:szCs w:val="20"/>
              </w:rPr>
              <w:t xml:space="preserve"> St Mary, The Ridge</w:t>
            </w:r>
          </w:p>
        </w:tc>
      </w:tr>
      <w:tr w:rsidR="00E97AD1" w:rsidTr="00E97AD1">
        <w:tc>
          <w:tcPr>
            <w:tcW w:w="4621" w:type="dxa"/>
          </w:tcPr>
          <w:p w:rsidR="00E97AD1" w:rsidRPr="00A5387B" w:rsidRDefault="00A538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HS/FA/09/00656</w:t>
            </w:r>
          </w:p>
        </w:tc>
        <w:tc>
          <w:tcPr>
            <w:tcW w:w="4621" w:type="dxa"/>
          </w:tcPr>
          <w:p w:rsidR="00E97AD1" w:rsidRPr="00A5387B" w:rsidRDefault="00A5387B" w:rsidP="00A538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109-115 Queens Road*</w:t>
            </w:r>
          </w:p>
        </w:tc>
      </w:tr>
      <w:tr w:rsidR="00E97AD1" w:rsidTr="00E97AD1">
        <w:tc>
          <w:tcPr>
            <w:tcW w:w="4621" w:type="dxa"/>
          </w:tcPr>
          <w:p w:rsidR="00E97AD1" w:rsidRPr="00A5387B" w:rsidRDefault="00A538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HS/FA/09/00062</w:t>
            </w:r>
          </w:p>
        </w:tc>
        <w:tc>
          <w:tcPr>
            <w:tcW w:w="4621" w:type="dxa"/>
          </w:tcPr>
          <w:p w:rsidR="00E97AD1" w:rsidRPr="00A5387B" w:rsidRDefault="00A5387B" w:rsidP="00A538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Quarry Wood, 23 Grange Road* </w:t>
            </w:r>
          </w:p>
        </w:tc>
      </w:tr>
      <w:tr w:rsidR="00E97AD1" w:rsidTr="00E97AD1">
        <w:tc>
          <w:tcPr>
            <w:tcW w:w="4621" w:type="dxa"/>
          </w:tcPr>
          <w:p w:rsidR="00E97AD1" w:rsidRPr="003B01D7" w:rsidRDefault="00A538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HS/FA/09/00105</w:t>
            </w:r>
          </w:p>
        </w:tc>
        <w:tc>
          <w:tcPr>
            <w:tcW w:w="4621" w:type="dxa"/>
          </w:tcPr>
          <w:p w:rsidR="00E97AD1" w:rsidRPr="003B01D7" w:rsidRDefault="00A5387B" w:rsidP="00A538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141 The Ridge* </w:t>
            </w:r>
          </w:p>
        </w:tc>
      </w:tr>
      <w:tr w:rsidR="00E97AD1" w:rsidTr="00E97AD1">
        <w:tc>
          <w:tcPr>
            <w:tcW w:w="4621" w:type="dxa"/>
          </w:tcPr>
          <w:p w:rsidR="00E97AD1" w:rsidRPr="00A5387B" w:rsidRDefault="00A5387B">
            <w:pPr>
              <w:rPr>
                <w:sz w:val="20"/>
                <w:szCs w:val="20"/>
              </w:rPr>
            </w:pPr>
            <w:r w:rsidRPr="00A5387B">
              <w:rPr>
                <w:sz w:val="20"/>
                <w:szCs w:val="20"/>
              </w:rPr>
              <w:t>HS/FA/12/00215</w:t>
            </w:r>
          </w:p>
        </w:tc>
        <w:tc>
          <w:tcPr>
            <w:tcW w:w="4621" w:type="dxa"/>
          </w:tcPr>
          <w:p w:rsidR="00E97AD1" w:rsidRPr="00A5387B" w:rsidRDefault="00A5387B" w:rsidP="00A5387B">
            <w:pPr>
              <w:rPr>
                <w:sz w:val="20"/>
                <w:szCs w:val="20"/>
              </w:rPr>
            </w:pPr>
            <w:r w:rsidRPr="00A5387B">
              <w:rPr>
                <w:rFonts w:cs="Arial"/>
                <w:sz w:val="20"/>
                <w:szCs w:val="20"/>
              </w:rPr>
              <w:t xml:space="preserve">Land rear of 151-177 Linley Drive* </w:t>
            </w:r>
          </w:p>
        </w:tc>
      </w:tr>
      <w:tr w:rsidR="00A5387B" w:rsidTr="00E97AD1">
        <w:tc>
          <w:tcPr>
            <w:tcW w:w="4621" w:type="dxa"/>
          </w:tcPr>
          <w:p w:rsidR="00A5387B" w:rsidRPr="00A5387B" w:rsidRDefault="00AB4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HS/FA/10/00005</w:t>
            </w:r>
          </w:p>
        </w:tc>
        <w:tc>
          <w:tcPr>
            <w:tcW w:w="4621" w:type="dxa"/>
          </w:tcPr>
          <w:p w:rsidR="00A5387B" w:rsidRPr="00A5387B" w:rsidRDefault="00AB4641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Former Workplace, The Ridge West*</w:t>
            </w:r>
          </w:p>
        </w:tc>
      </w:tr>
      <w:tr w:rsidR="00A5387B" w:rsidTr="00E97AD1">
        <w:tc>
          <w:tcPr>
            <w:tcW w:w="4621" w:type="dxa"/>
          </w:tcPr>
          <w:p w:rsidR="00A5387B" w:rsidRPr="00A5387B" w:rsidRDefault="00A5387B">
            <w:pPr>
              <w:rPr>
                <w:sz w:val="20"/>
                <w:szCs w:val="20"/>
              </w:rPr>
            </w:pPr>
            <w:r w:rsidRPr="00A5387B">
              <w:rPr>
                <w:sz w:val="20"/>
                <w:szCs w:val="20"/>
              </w:rPr>
              <w:t>HS/FA/11/00825</w:t>
            </w:r>
          </w:p>
        </w:tc>
        <w:tc>
          <w:tcPr>
            <w:tcW w:w="4621" w:type="dxa"/>
          </w:tcPr>
          <w:p w:rsidR="00A5387B" w:rsidRPr="00A5387B" w:rsidRDefault="00A5387B">
            <w:pPr>
              <w:rPr>
                <w:rFonts w:cs="Arial"/>
                <w:sz w:val="20"/>
                <w:szCs w:val="20"/>
              </w:rPr>
            </w:pPr>
            <w:r w:rsidRPr="00A5387B">
              <w:rPr>
                <w:rFonts w:cs="Arial"/>
                <w:sz w:val="20"/>
                <w:szCs w:val="20"/>
              </w:rPr>
              <w:t>2-28 (evens) Fellows Road</w:t>
            </w:r>
          </w:p>
        </w:tc>
      </w:tr>
      <w:tr w:rsidR="00A5387B" w:rsidTr="00E97AD1">
        <w:tc>
          <w:tcPr>
            <w:tcW w:w="4621" w:type="dxa"/>
          </w:tcPr>
          <w:p w:rsidR="00A5387B" w:rsidRPr="00A5387B" w:rsidRDefault="00AB4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HS/FA/15/00192</w:t>
            </w:r>
          </w:p>
        </w:tc>
        <w:tc>
          <w:tcPr>
            <w:tcW w:w="4621" w:type="dxa"/>
          </w:tcPr>
          <w:p w:rsidR="00A5387B" w:rsidRPr="00A5387B" w:rsidRDefault="00AB46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3-5 The Ridge (contribution not viable)</w:t>
            </w:r>
          </w:p>
        </w:tc>
      </w:tr>
      <w:tr w:rsidR="00AB4641" w:rsidTr="00E97AD1">
        <w:tc>
          <w:tcPr>
            <w:tcW w:w="4621" w:type="dxa"/>
          </w:tcPr>
          <w:p w:rsidR="00AB4641" w:rsidRPr="00A5387B" w:rsidRDefault="00AB4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HS/FA/13/00267</w:t>
            </w:r>
          </w:p>
        </w:tc>
        <w:tc>
          <w:tcPr>
            <w:tcW w:w="4621" w:type="dxa"/>
          </w:tcPr>
          <w:p w:rsidR="00AB4641" w:rsidRPr="00A5387B" w:rsidRDefault="00AB46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Former 9-157 (odds) &amp; 199-221 (odds) Farley Bank</w:t>
            </w:r>
          </w:p>
        </w:tc>
      </w:tr>
      <w:tr w:rsidR="00AB4641" w:rsidTr="00E97AD1">
        <w:tc>
          <w:tcPr>
            <w:tcW w:w="4621" w:type="dxa"/>
          </w:tcPr>
          <w:p w:rsidR="00AB4641" w:rsidRDefault="00AB4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HS/FA/13/00499</w:t>
            </w:r>
          </w:p>
          <w:p w:rsidR="00AB4641" w:rsidRPr="00A5387B" w:rsidRDefault="00AB4641" w:rsidP="00AB4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HS/FA/14/00052</w:t>
            </w:r>
          </w:p>
        </w:tc>
        <w:tc>
          <w:tcPr>
            <w:tcW w:w="4621" w:type="dxa"/>
          </w:tcPr>
          <w:p w:rsidR="00AB4641" w:rsidRPr="00A5387B" w:rsidRDefault="00AB46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Old Roar House, Old Roar Road</w:t>
            </w:r>
          </w:p>
        </w:tc>
      </w:tr>
    </w:tbl>
    <w:p w:rsidR="00E97AD1" w:rsidRDefault="00E97AD1"/>
    <w:p w:rsidR="00E97AD1" w:rsidRPr="003B01D7" w:rsidRDefault="00E97AD1">
      <w:pPr>
        <w:rPr>
          <w:sz w:val="20"/>
          <w:szCs w:val="20"/>
        </w:rPr>
      </w:pPr>
      <w:r w:rsidRPr="003B01D7">
        <w:rPr>
          <w:sz w:val="20"/>
          <w:szCs w:val="20"/>
        </w:rPr>
        <w:t>Details of the planning applications from the officer/committee reports which provide information about allocations, affordable housing and viability information along with copies of the Section106 agreements</w:t>
      </w:r>
      <w:r w:rsidR="00C12AC7" w:rsidRPr="003B01D7">
        <w:rPr>
          <w:sz w:val="20"/>
          <w:szCs w:val="20"/>
        </w:rPr>
        <w:t xml:space="preserve"> </w:t>
      </w:r>
      <w:r w:rsidRPr="003B01D7">
        <w:rPr>
          <w:sz w:val="20"/>
          <w:szCs w:val="20"/>
        </w:rPr>
        <w:t>themselves can be found via the Hastings Borough Council website planning ap</w:t>
      </w:r>
      <w:r w:rsidR="00D14344">
        <w:rPr>
          <w:sz w:val="20"/>
          <w:szCs w:val="20"/>
        </w:rPr>
        <w:t>plication search facility (</w:t>
      </w:r>
      <w:bookmarkStart w:id="0" w:name="_GoBack"/>
      <w:bookmarkEnd w:id="0"/>
      <w:r w:rsidRPr="003B01D7">
        <w:rPr>
          <w:sz w:val="20"/>
          <w:szCs w:val="20"/>
        </w:rPr>
        <w:t>type the application number as shown above and the application will load, you can them click on t</w:t>
      </w:r>
      <w:r w:rsidR="008E6D7D">
        <w:rPr>
          <w:sz w:val="20"/>
          <w:szCs w:val="20"/>
        </w:rPr>
        <w:t>he associated documents link to view</w:t>
      </w:r>
      <w:r w:rsidRPr="003B01D7">
        <w:rPr>
          <w:sz w:val="20"/>
          <w:szCs w:val="20"/>
        </w:rPr>
        <w:t xml:space="preserve"> these).  </w:t>
      </w:r>
      <w:hyperlink r:id="rId5" w:history="1">
        <w:r w:rsidRPr="003B01D7">
          <w:rPr>
            <w:rStyle w:val="Hyperlink"/>
            <w:sz w:val="20"/>
            <w:szCs w:val="20"/>
          </w:rPr>
          <w:t>http://publicaccess.hastings.gov.uk/online-applications/</w:t>
        </w:r>
      </w:hyperlink>
      <w:r w:rsidRPr="003B01D7">
        <w:rPr>
          <w:sz w:val="20"/>
          <w:szCs w:val="20"/>
        </w:rPr>
        <w:t xml:space="preserve"> </w:t>
      </w:r>
    </w:p>
    <w:p w:rsidR="00E97AD1" w:rsidRPr="003B01D7" w:rsidRDefault="00E97AD1">
      <w:pPr>
        <w:rPr>
          <w:sz w:val="20"/>
          <w:szCs w:val="20"/>
        </w:rPr>
      </w:pPr>
    </w:p>
    <w:p w:rsidR="00E97AD1" w:rsidRDefault="00E97AD1">
      <w:pPr>
        <w:rPr>
          <w:sz w:val="20"/>
          <w:szCs w:val="20"/>
        </w:rPr>
      </w:pPr>
      <w:r w:rsidRPr="003B01D7">
        <w:rPr>
          <w:sz w:val="20"/>
          <w:szCs w:val="20"/>
        </w:rPr>
        <w:t>Where the application number relates to OA this is an outline application, FA is a full application and DS is a detailed submission (usually following an outline).</w:t>
      </w:r>
    </w:p>
    <w:p w:rsidR="00A5387B" w:rsidRDefault="00A5387B">
      <w:pPr>
        <w:rPr>
          <w:sz w:val="20"/>
          <w:szCs w:val="20"/>
        </w:rPr>
      </w:pPr>
    </w:p>
    <w:p w:rsidR="00A5387B" w:rsidRPr="003B01D7" w:rsidRDefault="00A5387B">
      <w:pPr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Addresses marked with a * relate to S106 for East Sussex County Council contribution </w:t>
      </w:r>
      <w:r w:rsidR="00D14344">
        <w:rPr>
          <w:rFonts w:cs="Arial"/>
          <w:sz w:val="20"/>
          <w:szCs w:val="20"/>
        </w:rPr>
        <w:t xml:space="preserve">(Local Sustainable Accessibility Improvement Contribution – </w:t>
      </w:r>
      <w:r>
        <w:rPr>
          <w:rFonts w:cs="Arial"/>
          <w:sz w:val="20"/>
          <w:szCs w:val="20"/>
        </w:rPr>
        <w:t>LSAIC</w:t>
      </w:r>
      <w:r w:rsidR="00D14344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 xml:space="preserve"> only</w:t>
      </w:r>
    </w:p>
    <w:sectPr w:rsidR="00A5387B" w:rsidRPr="003B0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D1"/>
    <w:rsid w:val="00076AC2"/>
    <w:rsid w:val="000B2D25"/>
    <w:rsid w:val="0013579B"/>
    <w:rsid w:val="00307DD4"/>
    <w:rsid w:val="003A125C"/>
    <w:rsid w:val="003B01D7"/>
    <w:rsid w:val="00651E6D"/>
    <w:rsid w:val="00757B36"/>
    <w:rsid w:val="008B6D88"/>
    <w:rsid w:val="008E6D7D"/>
    <w:rsid w:val="009030D0"/>
    <w:rsid w:val="00915BF5"/>
    <w:rsid w:val="009416DF"/>
    <w:rsid w:val="009C2BFA"/>
    <w:rsid w:val="00A40A37"/>
    <w:rsid w:val="00A42E16"/>
    <w:rsid w:val="00A5387B"/>
    <w:rsid w:val="00AB4641"/>
    <w:rsid w:val="00AD32DA"/>
    <w:rsid w:val="00AE326C"/>
    <w:rsid w:val="00B050CB"/>
    <w:rsid w:val="00B31FA4"/>
    <w:rsid w:val="00B557A2"/>
    <w:rsid w:val="00B8187B"/>
    <w:rsid w:val="00B83B9A"/>
    <w:rsid w:val="00C12AC7"/>
    <w:rsid w:val="00C2067C"/>
    <w:rsid w:val="00C80D93"/>
    <w:rsid w:val="00CF739E"/>
    <w:rsid w:val="00D12F30"/>
    <w:rsid w:val="00D14344"/>
    <w:rsid w:val="00E06049"/>
    <w:rsid w:val="00E97AD1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25"/>
    <w:pPr>
      <w:spacing w:line="240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067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067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2F30"/>
    <w:pPr>
      <w:keepNext/>
      <w:keepLines/>
      <w:spacing w:before="200"/>
      <w:outlineLvl w:val="2"/>
    </w:pPr>
    <w:rPr>
      <w:rFonts w:eastAsiaTheme="majorEastAsia" w:cstheme="majorBidi"/>
      <w:bCs/>
      <w:color w:val="000000" w:themeColor="text1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3A12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67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067C"/>
    <w:rPr>
      <w:rFonts w:ascii="Arial" w:eastAsiaTheme="majorEastAsia" w:hAnsi="Arial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qFormat/>
    <w:rsid w:val="00AE32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E32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E326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A125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2F30"/>
    <w:rPr>
      <w:rFonts w:ascii="Arial" w:eastAsiaTheme="majorEastAsia" w:hAnsi="Arial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rsid w:val="003A12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E97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7A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25"/>
    <w:pPr>
      <w:spacing w:line="240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067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067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2F30"/>
    <w:pPr>
      <w:keepNext/>
      <w:keepLines/>
      <w:spacing w:before="200"/>
      <w:outlineLvl w:val="2"/>
    </w:pPr>
    <w:rPr>
      <w:rFonts w:eastAsiaTheme="majorEastAsia" w:cstheme="majorBidi"/>
      <w:bCs/>
      <w:color w:val="000000" w:themeColor="text1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3A12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67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067C"/>
    <w:rPr>
      <w:rFonts w:ascii="Arial" w:eastAsiaTheme="majorEastAsia" w:hAnsi="Arial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qFormat/>
    <w:rsid w:val="00AE32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E32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E326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A125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2F30"/>
    <w:rPr>
      <w:rFonts w:ascii="Arial" w:eastAsiaTheme="majorEastAsia" w:hAnsi="Arial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rsid w:val="003A12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E97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7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ccess.hastings.gov.uk/online-applic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16328249</Template>
  <TotalTime>0</TotalTime>
  <Pages>1</Pages>
  <Words>365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Hill</dc:creator>
  <cp:lastModifiedBy>Kerry Culbert</cp:lastModifiedBy>
  <cp:revision>2</cp:revision>
  <cp:lastPrinted>2017-06-19T15:46:00Z</cp:lastPrinted>
  <dcterms:created xsi:type="dcterms:W3CDTF">2017-06-20T15:32:00Z</dcterms:created>
  <dcterms:modified xsi:type="dcterms:W3CDTF">2017-06-20T15:32:00Z</dcterms:modified>
</cp:coreProperties>
</file>